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83"/>
        <w:gridCol w:w="6714"/>
      </w:tblGrid>
      <w:tr w:rsidR="004631E9" w:rsidRPr="00151216" w:rsidTr="007B53F3">
        <w:trPr>
          <w:trHeight w:val="426"/>
        </w:trPr>
        <w:tc>
          <w:tcPr>
            <w:tcW w:w="2283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</w:tcPr>
          <w:p w:rsidR="004631E9" w:rsidRPr="002B2485" w:rsidRDefault="004631E9" w:rsidP="002B2485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fr-FR"/>
              </w:rPr>
            </w:pPr>
            <w:r w:rsidRPr="002B2485">
              <w:rPr>
                <w:rFonts w:cs="Calibri"/>
                <w:b/>
                <w:bCs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6874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</w:tcPr>
          <w:p w:rsidR="004631E9" w:rsidRPr="002B2485" w:rsidRDefault="007B53F3" w:rsidP="00E11AF2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b/>
                <w:bCs/>
                <w:color w:val="000000"/>
              </w:rPr>
              <w:t>Gérer un salarié apprenti</w:t>
            </w:r>
          </w:p>
        </w:tc>
      </w:tr>
      <w:tr w:rsidR="007B53F3" w:rsidRPr="00151216" w:rsidTr="00001457">
        <w:trPr>
          <w:trHeight w:val="80"/>
        </w:trPr>
        <w:tc>
          <w:tcPr>
            <w:tcW w:w="2283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</w:tcPr>
          <w:p w:rsidR="007B53F3" w:rsidRPr="002B2485" w:rsidRDefault="007B53F3" w:rsidP="007B53F3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6874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</w:tcPr>
          <w:p w:rsidR="007B53F3" w:rsidRDefault="007B53F3" w:rsidP="00E11AF2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7B53F3" w:rsidRPr="00151216" w:rsidTr="007B53F3">
        <w:trPr>
          <w:trHeight w:val="6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</w:tcPr>
          <w:p w:rsidR="007B53F3" w:rsidRPr="002B2485" w:rsidRDefault="007B53F3" w:rsidP="00655743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2B2485"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687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</w:tcPr>
          <w:p w:rsidR="007B53F3" w:rsidRPr="009171CB" w:rsidRDefault="007B53F3" w:rsidP="00655743">
            <w:pPr>
              <w:spacing w:after="0" w:line="240" w:lineRule="auto"/>
              <w:rPr>
                <w:rFonts w:cs="Calibri"/>
                <w:color w:val="FFFFFF" w:themeColor="background1"/>
                <w:u w:val="single"/>
                <w:lang w:eastAsia="fr-FR"/>
              </w:rPr>
            </w:pPr>
          </w:p>
        </w:tc>
      </w:tr>
      <w:tr w:rsidR="004631E9" w:rsidRPr="00151216" w:rsidTr="00001457">
        <w:trPr>
          <w:trHeight w:val="598"/>
        </w:trPr>
        <w:tc>
          <w:tcPr>
            <w:tcW w:w="228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4631E9" w:rsidRPr="002B2485" w:rsidRDefault="004631E9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687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4631E9" w:rsidRPr="007F48C0" w:rsidRDefault="004631E9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Spécificités des salariés en contrat d’apprentissage, plus particulièrement vis-à-vis des rémunérations déclarées.</w:t>
            </w:r>
          </w:p>
        </w:tc>
      </w:tr>
      <w:tr w:rsidR="004631E9" w:rsidRPr="00151216" w:rsidTr="00001457">
        <w:trPr>
          <w:trHeight w:val="2073"/>
        </w:trPr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4631E9" w:rsidRPr="002B2485" w:rsidRDefault="004631E9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Cas de test</w:t>
            </w:r>
          </w:p>
        </w:tc>
        <w:tc>
          <w:tcPr>
            <w:tcW w:w="687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</w:tcPr>
          <w:p w:rsidR="004631E9" w:rsidRPr="007072AA" w:rsidRDefault="004631E9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</w:p>
          <w:p w:rsidR="004631E9" w:rsidRDefault="004631E9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le salarié est embauché en cont</w:t>
            </w:r>
            <w:r w:rsidR="00EF2F6C">
              <w:rPr>
                <w:rFonts w:cs="Calibri"/>
                <w:color w:val="000000"/>
                <w:sz w:val="20"/>
                <w:szCs w:val="20"/>
                <w:lang w:eastAsia="fr-FR"/>
              </w:rPr>
              <w:t>rat d’apprentissage le 1/06/AAAA</w:t>
            </w:r>
            <w:r w:rsidR="003956C2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avec une rémunération brute supérieure au pourcentage du SMIC ou du minimum conventionnel. 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6D3728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 xml:space="preserve">Attendu en sortie du logiciel : </w:t>
            </w:r>
          </w:p>
          <w:p w:rsidR="004631E9" w:rsidRPr="007072AA" w:rsidRDefault="004631E9" w:rsidP="00EF2F6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Valorisation des rémunérations spécifique</w:t>
            </w:r>
            <w:r w:rsidR="007B53F3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s </w:t>
            </w:r>
            <w:r w:rsidR="00EF2F6C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et des bases assujetties plafonnées et </w:t>
            </w:r>
            <w:r w:rsidR="00EF2F6C">
              <w:rPr>
                <w:rFonts w:cs="Calibri"/>
                <w:color w:val="000000"/>
                <w:sz w:val="20"/>
                <w:szCs w:val="20"/>
                <w:lang w:eastAsia="fr-FR"/>
              </w:rPr>
              <w:t>déplafonné</w:t>
            </w:r>
            <w:r w:rsidR="00EF2F6C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es </w:t>
            </w:r>
            <w:r w:rsidR="00EF2F6C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de la manière </w:t>
            </w:r>
            <w:r w:rsidR="007B53F3">
              <w:rPr>
                <w:rFonts w:cs="Calibri"/>
                <w:color w:val="000000"/>
                <w:sz w:val="20"/>
                <w:szCs w:val="20"/>
                <w:lang w:eastAsia="fr-FR"/>
              </w:rPr>
              <w:t>suivante</w:t>
            </w:r>
          </w:p>
        </w:tc>
      </w:tr>
      <w:tr w:rsidR="004631E9" w:rsidRPr="00151216" w:rsidTr="007B53F3">
        <w:trPr>
          <w:trHeight w:val="2311"/>
        </w:trPr>
        <w:tc>
          <w:tcPr>
            <w:tcW w:w="2283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4631E9" w:rsidRPr="002B2485" w:rsidRDefault="004631E9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Exemple</w:t>
            </w:r>
          </w:p>
        </w:tc>
        <w:tc>
          <w:tcPr>
            <w:tcW w:w="6874" w:type="dxa"/>
            <w:tcBorders>
              <w:top w:val="single" w:sz="8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</w:tcPr>
          <w:p w:rsidR="007B53F3" w:rsidRDefault="007B53F3" w:rsidP="00836CAF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</w:p>
          <w:p w:rsidR="004631E9" w:rsidRPr="006D3728" w:rsidRDefault="007B53F3" w:rsidP="00836CAF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A</w:t>
            </w:r>
            <w:r w:rsidR="004631E9"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 xml:space="preserve">U MOIS DE </w:t>
            </w:r>
            <w:r w:rsidR="004631E9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JUIN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 w:rsidR="00EF2F6C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01/06/AAAA</w:t>
            </w:r>
            <w:bookmarkStart w:id="0" w:name="_GoBack"/>
            <w:bookmarkEnd w:id="0"/>
          </w:p>
          <w:p w:rsidR="004631E9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Nature du contrat = </w:t>
            </w:r>
            <w:r w:rsidR="00EF2F6C" w:rsidRPr="00EF2F6C">
              <w:rPr>
                <w:rFonts w:cs="Calibri"/>
                <w:color w:val="000000"/>
                <w:sz w:val="16"/>
                <w:szCs w:val="16"/>
                <w:lang w:eastAsia="fr-FR"/>
              </w:rPr>
              <w:t>02 - Contrat de travail à durée déterminée de droit privé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Dispositif politique publique : </w:t>
            </w:r>
            <w:r w:rsidR="003956C2" w:rsidRPr="003956C2">
              <w:rPr>
                <w:rFonts w:cs="Calibri"/>
                <w:color w:val="000000"/>
                <w:sz w:val="16"/>
                <w:szCs w:val="16"/>
                <w:lang w:eastAsia="fr-FR"/>
              </w:rPr>
              <w:t>64 - Contrat d'apprentissage entreprises artisanales ou de moins de 11 salariés (loi du 3 janvier 1979)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versement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30/06</w:t>
            </w:r>
            <w:r w:rsidR="00EF2F6C">
              <w:rPr>
                <w:rFonts w:cs="Calibri"/>
                <w:color w:val="000000"/>
                <w:sz w:val="16"/>
                <w:szCs w:val="16"/>
                <w:lang w:eastAsia="fr-FR"/>
              </w:rPr>
              <w:t>/AAAA</w:t>
            </w:r>
          </w:p>
          <w:p w:rsidR="004631E9" w:rsidRDefault="004631E9" w:rsidP="006F299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06 au 30/06</w:t>
            </w:r>
          </w:p>
          <w:p w:rsidR="004631E9" w:rsidRDefault="004631E9" w:rsidP="006F299E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001 (rémunération brute non plafonnée) : 2000,00 euros</w:t>
            </w:r>
          </w:p>
          <w:p w:rsidR="004631E9" w:rsidRDefault="004631E9" w:rsidP="00CC0632">
            <w:pPr>
              <w:spacing w:after="0" w:line="240" w:lineRule="auto"/>
              <w:ind w:left="372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Type 002 (salaire brut </w:t>
            </w:r>
            <w:r w:rsidR="003956C2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soumis à Contributions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Assurance chômage) : 2000,00 euros </w:t>
            </w:r>
            <w:r w:rsidRPr="00840755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(et non pas la base forfaitaire URSSAF)</w:t>
            </w:r>
          </w:p>
          <w:p w:rsidR="00EF2F6C" w:rsidRPr="00EF2F6C" w:rsidRDefault="00EF2F6C" w:rsidP="00EF2F6C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EF2F6C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S21.G00.53 « activité » </w:t>
            </w:r>
          </w:p>
          <w:p w:rsidR="00EF2F6C" w:rsidRPr="00EF2F6C" w:rsidRDefault="00EF2F6C" w:rsidP="00EF2F6C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EF2F6C">
              <w:rPr>
                <w:rFonts w:cs="Calibri"/>
                <w:color w:val="000000"/>
                <w:sz w:val="16"/>
                <w:szCs w:val="16"/>
                <w:lang w:eastAsia="fr-FR"/>
              </w:rPr>
              <w:t>Type 01 (rémunéré) : 151,67 heures</w:t>
            </w:r>
          </w:p>
          <w:p w:rsidR="00EF2F6C" w:rsidRDefault="00EF2F6C" w:rsidP="00CC0632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003 (</w:t>
            </w:r>
            <w:r w:rsidRPr="00EF2F6C">
              <w:rPr>
                <w:rFonts w:cs="Calibri"/>
                <w:color w:val="000000"/>
                <w:sz w:val="16"/>
                <w:szCs w:val="16"/>
                <w:lang w:eastAsia="fr-FR"/>
              </w:rPr>
              <w:t>003 - Salaire rétabli – reconstitué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) : 2000</w:t>
            </w:r>
          </w:p>
          <w:p w:rsidR="00EF2F6C" w:rsidRPr="00EF2F6C" w:rsidRDefault="00EF2F6C" w:rsidP="00CC0632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010 (</w:t>
            </w:r>
            <w:r w:rsidRPr="00EF2F6C">
              <w:rPr>
                <w:rFonts w:cs="Calibri"/>
                <w:color w:val="000000"/>
                <w:sz w:val="16"/>
                <w:szCs w:val="16"/>
                <w:lang w:eastAsia="fr-FR"/>
              </w:rPr>
              <w:t>010 - Salaire de base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) : 2000 </w:t>
            </w:r>
          </w:p>
          <w:p w:rsidR="003956C2" w:rsidRDefault="00EF2F6C" w:rsidP="00EF2F6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-1 bloc S21.G00.78 de type « 02</w:t>
            </w:r>
            <w:r w:rsidRPr="00EF2F6C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- Assiette brute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plafonnée » renseignée avec</w:t>
            </w:r>
            <w:r w:rsidRPr="00EF2F6C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la base forfaitaire de cotisation et non la rémunération brute</w:t>
            </w:r>
          </w:p>
          <w:p w:rsidR="00EF2F6C" w:rsidRDefault="00EF2F6C" w:rsidP="00EF2F6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-1 bloc </w:t>
            </w:r>
            <w:r w:rsidRPr="00EF2F6C">
              <w:rPr>
                <w:rFonts w:cs="Calibri"/>
                <w:color w:val="000000"/>
                <w:sz w:val="16"/>
                <w:szCs w:val="16"/>
                <w:lang w:eastAsia="fr-FR"/>
              </w:rPr>
              <w:t>S21.G00.78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de type « </w:t>
            </w:r>
            <w:r w:rsidRPr="00EF2F6C">
              <w:rPr>
                <w:rFonts w:cs="Calibri"/>
                <w:color w:val="000000"/>
                <w:sz w:val="16"/>
                <w:szCs w:val="16"/>
                <w:lang w:eastAsia="fr-FR"/>
              </w:rPr>
              <w:t>03 - Assiette brute déplafonnée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 » renseignée avec la base forfaitaire de cotisation et non la rémunération brute. 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4631E9" w:rsidRPr="00265394" w:rsidRDefault="004631E9" w:rsidP="006F299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</w:p>
        </w:tc>
      </w:tr>
    </w:tbl>
    <w:p w:rsidR="004631E9" w:rsidRDefault="004631E9"/>
    <w:sectPr w:rsidR="004631E9" w:rsidSect="008D5E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FA9" w:rsidRDefault="00E54FA9" w:rsidP="000A64DF">
      <w:pPr>
        <w:spacing w:after="0" w:line="240" w:lineRule="auto"/>
      </w:pPr>
      <w:r>
        <w:separator/>
      </w:r>
    </w:p>
  </w:endnote>
  <w:endnote w:type="continuationSeparator" w:id="0">
    <w:p w:rsidR="00E54FA9" w:rsidRDefault="00E54FA9" w:rsidP="000A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FA9" w:rsidRDefault="00E54FA9" w:rsidP="000A64DF">
      <w:pPr>
        <w:spacing w:after="0" w:line="240" w:lineRule="auto"/>
      </w:pPr>
      <w:r>
        <w:separator/>
      </w:r>
    </w:p>
  </w:footnote>
  <w:footnote w:type="continuationSeparator" w:id="0">
    <w:p w:rsidR="00E54FA9" w:rsidRDefault="00E54FA9" w:rsidP="000A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4DF" w:rsidRDefault="000A64DF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F2580"/>
    <w:multiLevelType w:val="hybridMultilevel"/>
    <w:tmpl w:val="B9AA31E4"/>
    <w:lvl w:ilvl="0" w:tplc="EEAA979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01457"/>
    <w:rsid w:val="000454F7"/>
    <w:rsid w:val="0005237C"/>
    <w:rsid w:val="000A64DF"/>
    <w:rsid w:val="000B08B5"/>
    <w:rsid w:val="00151216"/>
    <w:rsid w:val="001A1A50"/>
    <w:rsid w:val="001C3BA4"/>
    <w:rsid w:val="00225BD9"/>
    <w:rsid w:val="0024024D"/>
    <w:rsid w:val="002417D5"/>
    <w:rsid w:val="00265394"/>
    <w:rsid w:val="002B2485"/>
    <w:rsid w:val="002E6091"/>
    <w:rsid w:val="00382C65"/>
    <w:rsid w:val="003956C2"/>
    <w:rsid w:val="003A3069"/>
    <w:rsid w:val="003B3AA1"/>
    <w:rsid w:val="004631E9"/>
    <w:rsid w:val="00494342"/>
    <w:rsid w:val="004B4E22"/>
    <w:rsid w:val="004B65A4"/>
    <w:rsid w:val="004E406B"/>
    <w:rsid w:val="00561764"/>
    <w:rsid w:val="006D3728"/>
    <w:rsid w:val="006D5BB9"/>
    <w:rsid w:val="006E0DB4"/>
    <w:rsid w:val="006F299E"/>
    <w:rsid w:val="007072AA"/>
    <w:rsid w:val="007B53F3"/>
    <w:rsid w:val="007C3357"/>
    <w:rsid w:val="007F48C0"/>
    <w:rsid w:val="007F7379"/>
    <w:rsid w:val="00800CE1"/>
    <w:rsid w:val="00831A14"/>
    <w:rsid w:val="00836CAF"/>
    <w:rsid w:val="00840755"/>
    <w:rsid w:val="00860609"/>
    <w:rsid w:val="00864E66"/>
    <w:rsid w:val="008731CC"/>
    <w:rsid w:val="008C1502"/>
    <w:rsid w:val="008D1946"/>
    <w:rsid w:val="008D5E19"/>
    <w:rsid w:val="0096210D"/>
    <w:rsid w:val="009F3371"/>
    <w:rsid w:val="00AD234B"/>
    <w:rsid w:val="00B21DB5"/>
    <w:rsid w:val="00B32DDD"/>
    <w:rsid w:val="00CC0632"/>
    <w:rsid w:val="00CD04FC"/>
    <w:rsid w:val="00CD5661"/>
    <w:rsid w:val="00D82AA1"/>
    <w:rsid w:val="00E11AF2"/>
    <w:rsid w:val="00E54FA9"/>
    <w:rsid w:val="00E81953"/>
    <w:rsid w:val="00EF2F6C"/>
    <w:rsid w:val="00EF6FE4"/>
    <w:rsid w:val="00F20536"/>
    <w:rsid w:val="00F20EAF"/>
    <w:rsid w:val="00F92E31"/>
    <w:rsid w:val="00FF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0C0BD1-9750-4579-B006-CAF0109B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E19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8C1502"/>
    <w:pPr>
      <w:spacing w:after="0" w:line="240" w:lineRule="auto"/>
    </w:pPr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2E6091"/>
    <w:rPr>
      <w:rFonts w:ascii="Times New Roman" w:hAnsi="Times New Roman" w:cs="Times New Roman"/>
      <w:sz w:val="2"/>
      <w:lang w:eastAsia="en-US"/>
    </w:rPr>
  </w:style>
  <w:style w:type="character" w:styleId="Lienhypertexte">
    <w:name w:val="Hyperlink"/>
    <w:basedOn w:val="Policepardfaut"/>
    <w:uiPriority w:val="99"/>
    <w:semiHidden/>
    <w:rsid w:val="002B2485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0A6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64DF"/>
    <w:rPr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A6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64D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83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Editeur :</vt:lpstr>
    </vt:vector>
  </TitlesOfParts>
  <Company>Ministere de l'emploi, du travail et de la sante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Editeur :</dc:title>
  <dc:creator>GIP-MDS</dc:creator>
  <cp:lastModifiedBy>Guillaume COSNEAU</cp:lastModifiedBy>
  <cp:revision>3</cp:revision>
  <dcterms:created xsi:type="dcterms:W3CDTF">2017-12-05T14:05:00Z</dcterms:created>
  <dcterms:modified xsi:type="dcterms:W3CDTF">2017-12-05T14:15:00Z</dcterms:modified>
</cp:coreProperties>
</file>